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The </w:t>
      </w:r>
      <w:hyperlink r:id="rId5" w:history="1">
        <w:r w:rsidRPr="00A14597">
          <w:rPr>
            <w:rFonts w:ascii="inherit" w:eastAsia="Times New Roman" w:hAnsi="inherit" w:cs="Times New Roman"/>
            <w:color w:val="0F75BD"/>
            <w:sz w:val="26"/>
            <w:szCs w:val="26"/>
            <w:u w:val="single"/>
            <w:bdr w:val="none" w:sz="0" w:space="0" w:color="auto" w:frame="1"/>
          </w:rPr>
          <w:t>Treasurer</w:t>
        </w:r>
      </w:hyperlink>
      <w:r w:rsidRPr="00A14597">
        <w:rPr>
          <w:rFonts w:ascii="inherit" w:eastAsia="Times New Roman" w:hAnsi="inherit" w:cs="Times New Roman"/>
          <w:color w:val="222222"/>
          <w:sz w:val="26"/>
          <w:szCs w:val="26"/>
        </w:rPr>
        <w:t> is responsible for the collection of taxes</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Property Owners receive tax bills twice a year around July 1 and December 1</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Tax bills are always due on September 14 and February 14 unless the 14th falls on a Saturday, Sunday or holiday then they are due the next business day</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Mail must be postmarked by due date</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Interest fees begin September 15 and February 15</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EF0F2E"/>
          <w:sz w:val="26"/>
          <w:szCs w:val="26"/>
        </w:rPr>
      </w:pPr>
      <w:r w:rsidRPr="00A14597">
        <w:rPr>
          <w:rFonts w:ascii="inherit" w:eastAsia="Times New Roman" w:hAnsi="inherit" w:cs="Times New Roman"/>
          <w:b/>
          <w:bCs/>
          <w:color w:val="EF0F2E"/>
          <w:sz w:val="26"/>
          <w:szCs w:val="26"/>
          <w:bdr w:val="none" w:sz="0" w:space="0" w:color="auto" w:frame="1"/>
        </w:rPr>
        <w:t>Taxes become delinquent on March 1st of each year and tax bills are passed on to the County Treasurer, who will levy additional late fees. Those payments are not updated on this website.</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Make checks payable to: Blue Lake Township</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Cash payments must be for the exact amount</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There is a drop box at the Township Hall’s main entrance.</w:t>
      </w:r>
    </w:p>
    <w:p w:rsidR="00A14597" w:rsidRPr="00A14597" w:rsidRDefault="00A14597" w:rsidP="00A14597">
      <w:pPr>
        <w:numPr>
          <w:ilvl w:val="0"/>
          <w:numId w:val="1"/>
        </w:numPr>
        <w:shd w:val="clear" w:color="auto" w:fill="FEFFFF"/>
        <w:spacing w:after="0" w:line="324" w:lineRule="atLeast"/>
        <w:ind w:left="0"/>
        <w:textAlignment w:val="baseline"/>
        <w:rPr>
          <w:rFonts w:ascii="inherit" w:eastAsia="Times New Roman" w:hAnsi="inherit" w:cs="Times New Roman"/>
          <w:color w:val="222222"/>
          <w:sz w:val="26"/>
          <w:szCs w:val="26"/>
        </w:rPr>
      </w:pPr>
      <w:r w:rsidRPr="00A14597">
        <w:rPr>
          <w:rFonts w:ascii="inherit" w:eastAsia="Times New Roman" w:hAnsi="inherit" w:cs="Times New Roman"/>
          <w:color w:val="222222"/>
          <w:sz w:val="26"/>
          <w:szCs w:val="26"/>
        </w:rPr>
        <w:t>Property owners are responsible for notifying the Treasurer if their mailing address changes. Taxes are due whether or not the bill is received</w:t>
      </w:r>
    </w:p>
    <w:p w:rsidR="009F2E6B" w:rsidRDefault="009F2E6B">
      <w:bookmarkStart w:id="0" w:name="_GoBack"/>
      <w:bookmarkEnd w:id="0"/>
    </w:p>
    <w:sectPr w:rsidR="009F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C45FA"/>
    <w:multiLevelType w:val="multilevel"/>
    <w:tmpl w:val="A2B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97"/>
    <w:rsid w:val="009F2E6B"/>
    <w:rsid w:val="00A1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0630B-B1AE-4D6E-9B50-ABF051A6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597"/>
    <w:rPr>
      <w:color w:val="0000FF"/>
      <w:u w:val="single"/>
    </w:rPr>
  </w:style>
  <w:style w:type="character" w:styleId="Strong">
    <w:name w:val="Strong"/>
    <w:basedOn w:val="DefaultParagraphFont"/>
    <w:uiPriority w:val="22"/>
    <w:qFormat/>
    <w:rsid w:val="00A14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v.liaa.org/bluelake2019/Treasurer.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Almose</dc:creator>
  <cp:keywords/>
  <dc:description/>
  <cp:lastModifiedBy>Christine Almose</cp:lastModifiedBy>
  <cp:revision>1</cp:revision>
  <dcterms:created xsi:type="dcterms:W3CDTF">2019-10-31T20:24:00Z</dcterms:created>
  <dcterms:modified xsi:type="dcterms:W3CDTF">2019-10-31T20:25:00Z</dcterms:modified>
</cp:coreProperties>
</file>